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383C2" w14:textId="0EC93B6F" w:rsidR="00156782" w:rsidRDefault="00D06D1B">
      <w:pPr>
        <w:pStyle w:val="Corpotesto"/>
        <w:spacing w:before="7"/>
        <w:rPr>
          <w:rFonts w:ascii="Times New Roman"/>
          <w:sz w:val="23"/>
        </w:rPr>
      </w:pPr>
      <w:r>
        <w:rPr>
          <w:noProof/>
          <w:sz w:val="72"/>
          <w:szCs w:val="72"/>
          <w:lang w:val="it-IT"/>
        </w:rPr>
        <w:pict w14:anchorId="063B8C21">
          <v:roundrect id="Rettangolo con angoli arrotondati 1" o:spid="_x0000_s1026" style="position:absolute;margin-left:-26pt;margin-top:8.7pt;width:507.6pt;height:735.6pt;z-index:251658240;visibility:visible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</w:p>
    <w:p w14:paraId="0352A197" w14:textId="5F8A49EB" w:rsidR="00156782" w:rsidRPr="00FA56F1" w:rsidRDefault="00334DA2" w:rsidP="00334DA2">
      <w:pPr>
        <w:pStyle w:val="Titolo1"/>
        <w:ind w:left="0"/>
        <w:jc w:val="right"/>
        <w:rPr>
          <w:lang w:val="it-IT"/>
        </w:rPr>
      </w:pPr>
      <w:r w:rsidRPr="00334DA2">
        <w:rPr>
          <w:noProof/>
          <w:sz w:val="56"/>
          <w:szCs w:val="56"/>
        </w:rPr>
        <w:drawing>
          <wp:anchor distT="0" distB="0" distL="114300" distR="114300" simplePos="0" relativeHeight="251659264" behindDoc="0" locked="0" layoutInCell="1" allowOverlap="1" wp14:anchorId="038ACA30" wp14:editId="3C81E49A">
            <wp:simplePos x="0" y="0"/>
            <wp:positionH relativeFrom="column">
              <wp:posOffset>-95250</wp:posOffset>
            </wp:positionH>
            <wp:positionV relativeFrom="paragraph">
              <wp:posOffset>229235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D0895" w:rsidRPr="00334DA2">
        <w:rPr>
          <w:sz w:val="72"/>
          <w:szCs w:val="72"/>
          <w:lang w:val="it-IT"/>
        </w:rPr>
        <w:t>SAHARA</w:t>
      </w:r>
      <w:r w:rsidRPr="00334DA2">
        <w:rPr>
          <w:sz w:val="72"/>
          <w:szCs w:val="72"/>
          <w:lang w:val="it-IT"/>
        </w:rPr>
        <w:t xml:space="preserve"> Q2</w:t>
      </w:r>
      <w:r w:rsidR="00203977">
        <w:rPr>
          <w:sz w:val="72"/>
          <w:szCs w:val="72"/>
          <w:lang w:val="it-IT"/>
        </w:rPr>
        <w:t>0</w:t>
      </w:r>
      <w:r w:rsidRPr="00334DA2">
        <w:rPr>
          <w:sz w:val="72"/>
          <w:szCs w:val="72"/>
          <w:lang w:val="it-IT"/>
        </w:rPr>
        <w:t>0</w:t>
      </w:r>
    </w:p>
    <w:p w14:paraId="140DD7EE" w14:textId="26E2EB71" w:rsidR="00156782" w:rsidRPr="00FA56F1" w:rsidRDefault="00156782">
      <w:pPr>
        <w:pStyle w:val="Corpotesto"/>
        <w:spacing w:before="1"/>
        <w:rPr>
          <w:rFonts w:ascii="Impact"/>
          <w:b/>
          <w:sz w:val="90"/>
          <w:lang w:val="it-IT"/>
        </w:rPr>
      </w:pPr>
    </w:p>
    <w:p w14:paraId="61B06CFF" w14:textId="456FEAF9" w:rsidR="00156782" w:rsidRDefault="002D0895" w:rsidP="000E5DBB">
      <w:pPr>
        <w:pStyle w:val="Corpotesto"/>
        <w:spacing w:line="249" w:lineRule="auto"/>
        <w:ind w:left="115" w:right="116"/>
        <w:jc w:val="both"/>
        <w:rPr>
          <w:w w:val="105"/>
          <w:lang w:val="it-IT"/>
        </w:rPr>
      </w:pPr>
      <w:r w:rsidRPr="000E5DBB">
        <w:rPr>
          <w:b/>
          <w:color w:val="0D0D0D"/>
          <w:w w:val="105"/>
          <w:sz w:val="24"/>
          <w:lang w:val="it-IT"/>
        </w:rPr>
        <w:t xml:space="preserve">SAHARA </w:t>
      </w:r>
      <w:r w:rsidR="000E5DBB" w:rsidRPr="000E5DBB">
        <w:rPr>
          <w:b/>
          <w:color w:val="0D0D0D"/>
          <w:w w:val="105"/>
          <w:sz w:val="24"/>
          <w:lang w:val="it-IT"/>
        </w:rPr>
        <w:t>Q2</w:t>
      </w:r>
      <w:r w:rsidR="00203977">
        <w:rPr>
          <w:b/>
          <w:color w:val="0D0D0D"/>
          <w:w w:val="105"/>
          <w:sz w:val="24"/>
          <w:lang w:val="it-IT"/>
        </w:rPr>
        <w:t>0</w:t>
      </w:r>
      <w:r w:rsidR="000E5DBB" w:rsidRPr="000E5DBB">
        <w:rPr>
          <w:b/>
          <w:color w:val="0D0D0D"/>
          <w:w w:val="105"/>
          <w:sz w:val="24"/>
          <w:lang w:val="it-IT"/>
        </w:rPr>
        <w:t>0</w:t>
      </w:r>
      <w:r w:rsidR="00203977">
        <w:rPr>
          <w:b/>
          <w:color w:val="0D0D0D"/>
          <w:w w:val="105"/>
          <w:sz w:val="24"/>
          <w:lang w:val="it-IT"/>
        </w:rPr>
        <w:t xml:space="preserve"> </w:t>
      </w:r>
      <w:r w:rsidR="00203977">
        <w:rPr>
          <w:w w:val="105"/>
          <w:lang w:val="it-IT"/>
        </w:rPr>
        <w:t>è un a</w:t>
      </w:r>
      <w:r w:rsidR="00203977" w:rsidRPr="00203977">
        <w:rPr>
          <w:w w:val="105"/>
          <w:lang w:val="it-IT"/>
        </w:rPr>
        <w:t>ssorbente antisdrucciolo non polveroso studiato per assorbire rapidamente sostanze chimiche allo stato liquido come oli, derivati petroliferi e inchiostri. Non richiede precauzioni particolari durante l’utilizzo e lo stoccaggio in quanto non infiammabile, non tossico né irritante.</w:t>
      </w:r>
    </w:p>
    <w:p w14:paraId="5B5F2616" w14:textId="6C450330" w:rsidR="00863A79" w:rsidRDefault="00863A79" w:rsidP="000E5DBB">
      <w:pPr>
        <w:pStyle w:val="Corpotesto"/>
        <w:spacing w:line="249" w:lineRule="auto"/>
        <w:ind w:left="115" w:right="116"/>
        <w:jc w:val="both"/>
        <w:rPr>
          <w:sz w:val="22"/>
          <w:lang w:val="it-IT"/>
        </w:rPr>
      </w:pPr>
    </w:p>
    <w:p w14:paraId="2E98498A" w14:textId="77777777" w:rsidR="00863A79" w:rsidRPr="00FA56F1" w:rsidRDefault="00863A79" w:rsidP="000E5DBB">
      <w:pPr>
        <w:pStyle w:val="Corpotesto"/>
        <w:spacing w:line="249" w:lineRule="auto"/>
        <w:ind w:left="115" w:right="116"/>
        <w:jc w:val="both"/>
        <w:rPr>
          <w:sz w:val="22"/>
          <w:lang w:val="it-IT"/>
        </w:rPr>
      </w:pPr>
    </w:p>
    <w:p w14:paraId="2A3141E4" w14:textId="77777777" w:rsidR="00156782" w:rsidRPr="00FA56F1" w:rsidRDefault="00156782" w:rsidP="006B68A5">
      <w:pPr>
        <w:pStyle w:val="Corpotesto"/>
        <w:spacing w:before="4"/>
        <w:jc w:val="both"/>
        <w:rPr>
          <w:lang w:val="it-IT"/>
        </w:rPr>
      </w:pPr>
    </w:p>
    <w:p w14:paraId="3EB99082" w14:textId="51B33F6C" w:rsidR="00156782" w:rsidRDefault="000B35D6" w:rsidP="006B68A5">
      <w:pPr>
        <w:pStyle w:val="Titolo2"/>
        <w:jc w:val="both"/>
        <w:rPr>
          <w:sz w:val="20"/>
          <w:szCs w:val="20"/>
        </w:rPr>
      </w:pPr>
      <w:r w:rsidRPr="00D06D1B">
        <w:rPr>
          <w:sz w:val="20"/>
          <w:szCs w:val="20"/>
        </w:rPr>
        <w:t>CARATTERISTICHE CHIMICO-FISICHE</w:t>
      </w:r>
    </w:p>
    <w:p w14:paraId="6494FCA1" w14:textId="77777777" w:rsidR="00D06D1B" w:rsidRPr="00D06D1B" w:rsidRDefault="00D06D1B" w:rsidP="006B68A5">
      <w:pPr>
        <w:pStyle w:val="Titolo2"/>
        <w:jc w:val="both"/>
        <w:rPr>
          <w:sz w:val="20"/>
          <w:szCs w:val="20"/>
        </w:rPr>
      </w:pPr>
    </w:p>
    <w:tbl>
      <w:tblPr>
        <w:tblStyle w:val="TableNormal"/>
        <w:tblW w:w="0" w:type="auto"/>
        <w:tblInd w:w="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4241"/>
      </w:tblGrid>
      <w:tr w:rsidR="002738E3" w14:paraId="35BFA20E" w14:textId="77777777" w:rsidTr="00D06D1B">
        <w:trPr>
          <w:trHeight w:val="518"/>
        </w:trPr>
        <w:tc>
          <w:tcPr>
            <w:tcW w:w="4675" w:type="dxa"/>
            <w:shd w:val="clear" w:color="auto" w:fill="EDEDED"/>
            <w:vAlign w:val="center"/>
          </w:tcPr>
          <w:p w14:paraId="7FDED8BE" w14:textId="1CE339E8" w:rsidR="002738E3" w:rsidRDefault="002738E3" w:rsidP="002738E3">
            <w:pPr>
              <w:pStyle w:val="TableParagraph"/>
              <w:spacing w:before="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</w:p>
        </w:tc>
        <w:tc>
          <w:tcPr>
            <w:tcW w:w="4241" w:type="dxa"/>
            <w:shd w:val="clear" w:color="auto" w:fill="EDEDED"/>
            <w:vAlign w:val="center"/>
          </w:tcPr>
          <w:p w14:paraId="232DF93F" w14:textId="77777777" w:rsidR="002738E3" w:rsidRDefault="002738E3" w:rsidP="002738E3">
            <w:pPr>
              <w:pStyle w:val="TableParagraph"/>
              <w:spacing w:before="0"/>
              <w:rPr>
                <w:sz w:val="17"/>
              </w:rPr>
            </w:pPr>
            <w:r>
              <w:rPr>
                <w:w w:val="105"/>
                <w:sz w:val="17"/>
              </w:rPr>
              <w:t>Polvere</w:t>
            </w:r>
          </w:p>
        </w:tc>
      </w:tr>
      <w:tr w:rsidR="002738E3" w14:paraId="54F739F0" w14:textId="77777777" w:rsidTr="00D06D1B">
        <w:trPr>
          <w:trHeight w:val="518"/>
        </w:trPr>
        <w:tc>
          <w:tcPr>
            <w:tcW w:w="4675" w:type="dxa"/>
            <w:vAlign w:val="center"/>
          </w:tcPr>
          <w:p w14:paraId="13B8C775" w14:textId="543140C3" w:rsidR="002738E3" w:rsidRDefault="002738E3" w:rsidP="002738E3">
            <w:pPr>
              <w:pStyle w:val="TableParagraph"/>
              <w:spacing w:before="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Colore</w:t>
            </w:r>
            <w:proofErr w:type="spellEnd"/>
          </w:p>
        </w:tc>
        <w:tc>
          <w:tcPr>
            <w:tcW w:w="4241" w:type="dxa"/>
            <w:vAlign w:val="center"/>
          </w:tcPr>
          <w:p w14:paraId="32C89B36" w14:textId="247842BD" w:rsidR="002738E3" w:rsidRDefault="002738E3" w:rsidP="002738E3">
            <w:pPr>
              <w:pStyle w:val="TableParagraph"/>
              <w:spacing w:before="0"/>
              <w:rPr>
                <w:sz w:val="17"/>
              </w:rPr>
            </w:pPr>
            <w:r>
              <w:rPr>
                <w:w w:val="105"/>
                <w:sz w:val="17"/>
              </w:rPr>
              <w:t>Beige</w:t>
            </w:r>
          </w:p>
        </w:tc>
      </w:tr>
      <w:tr w:rsidR="002738E3" w14:paraId="26DCA43F" w14:textId="77777777" w:rsidTr="00D06D1B">
        <w:trPr>
          <w:trHeight w:val="518"/>
        </w:trPr>
        <w:tc>
          <w:tcPr>
            <w:tcW w:w="4675" w:type="dxa"/>
            <w:shd w:val="clear" w:color="auto" w:fill="EDEDED"/>
            <w:vAlign w:val="center"/>
          </w:tcPr>
          <w:p w14:paraId="2B76856E" w14:textId="77777777" w:rsidR="002738E3" w:rsidRDefault="002738E3" w:rsidP="002738E3">
            <w:pPr>
              <w:pStyle w:val="TableParagraph"/>
              <w:spacing w:before="0"/>
              <w:rPr>
                <w:sz w:val="17"/>
              </w:rPr>
            </w:pPr>
            <w:r>
              <w:rPr>
                <w:w w:val="105"/>
                <w:sz w:val="17"/>
              </w:rPr>
              <w:t>Odore</w:t>
            </w:r>
          </w:p>
        </w:tc>
        <w:tc>
          <w:tcPr>
            <w:tcW w:w="4241" w:type="dxa"/>
            <w:shd w:val="clear" w:color="auto" w:fill="EDEDED"/>
            <w:vAlign w:val="center"/>
          </w:tcPr>
          <w:p w14:paraId="7CE98D3F" w14:textId="3E4FD358" w:rsidR="002738E3" w:rsidRDefault="002738E3" w:rsidP="002738E3">
            <w:pPr>
              <w:pStyle w:val="TableParagraph"/>
              <w:spacing w:before="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Inodore</w:t>
            </w:r>
            <w:proofErr w:type="spellEnd"/>
          </w:p>
        </w:tc>
      </w:tr>
      <w:tr w:rsidR="002738E3" w14:paraId="2F598020" w14:textId="77777777" w:rsidTr="00D06D1B">
        <w:trPr>
          <w:trHeight w:val="527"/>
        </w:trPr>
        <w:tc>
          <w:tcPr>
            <w:tcW w:w="4675" w:type="dxa"/>
            <w:vAlign w:val="center"/>
          </w:tcPr>
          <w:p w14:paraId="7995D030" w14:textId="77777777" w:rsidR="002738E3" w:rsidRDefault="002738E3" w:rsidP="002738E3">
            <w:pPr>
              <w:pStyle w:val="TableParagraph"/>
              <w:spacing w:before="0"/>
              <w:rPr>
                <w:sz w:val="17"/>
              </w:rPr>
            </w:pPr>
            <w:r>
              <w:rPr>
                <w:w w:val="105"/>
                <w:sz w:val="17"/>
              </w:rPr>
              <w:t>pH</w:t>
            </w:r>
          </w:p>
        </w:tc>
        <w:tc>
          <w:tcPr>
            <w:tcW w:w="4241" w:type="dxa"/>
            <w:vAlign w:val="center"/>
          </w:tcPr>
          <w:p w14:paraId="0360B056" w14:textId="73E5AD3D" w:rsidR="002738E3" w:rsidRDefault="002738E3" w:rsidP="002738E3">
            <w:pPr>
              <w:pStyle w:val="TableParagraph"/>
              <w:spacing w:before="0"/>
              <w:rPr>
                <w:sz w:val="17"/>
              </w:rPr>
            </w:pPr>
            <w:r>
              <w:rPr>
                <w:w w:val="105"/>
                <w:sz w:val="17"/>
              </w:rPr>
              <w:t xml:space="preserve">8,00 </w:t>
            </w:r>
            <w:r>
              <w:rPr>
                <w:w w:val="105"/>
                <w:sz w:val="17"/>
                <w:u w:val="single"/>
              </w:rPr>
              <w:t>+</w:t>
            </w:r>
            <w:r>
              <w:rPr>
                <w:w w:val="105"/>
                <w:sz w:val="17"/>
              </w:rPr>
              <w:t xml:space="preserve"> 1,0 (</w:t>
            </w:r>
            <w:proofErr w:type="spellStart"/>
            <w:r>
              <w:rPr>
                <w:w w:val="105"/>
                <w:sz w:val="17"/>
              </w:rPr>
              <w:t>dispersione</w:t>
            </w:r>
            <w:proofErr w:type="spellEnd"/>
            <w:r>
              <w:rPr>
                <w:w w:val="105"/>
                <w:sz w:val="17"/>
              </w:rPr>
              <w:t xml:space="preserve"> 10% in peso)</w:t>
            </w:r>
          </w:p>
        </w:tc>
      </w:tr>
      <w:tr w:rsidR="002738E3" w14:paraId="3B990B5A" w14:textId="77777777" w:rsidTr="00D06D1B">
        <w:trPr>
          <w:trHeight w:val="518"/>
        </w:trPr>
        <w:tc>
          <w:tcPr>
            <w:tcW w:w="4675" w:type="dxa"/>
            <w:shd w:val="clear" w:color="auto" w:fill="EDEDED"/>
            <w:vAlign w:val="center"/>
          </w:tcPr>
          <w:p w14:paraId="17951DE6" w14:textId="77777777" w:rsidR="002738E3" w:rsidRDefault="002738E3" w:rsidP="002738E3">
            <w:pPr>
              <w:pStyle w:val="TableParagraph"/>
              <w:spacing w:before="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Densità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apparente</w:t>
            </w:r>
            <w:proofErr w:type="spellEnd"/>
          </w:p>
        </w:tc>
        <w:tc>
          <w:tcPr>
            <w:tcW w:w="4241" w:type="dxa"/>
            <w:shd w:val="clear" w:color="auto" w:fill="EDEDED"/>
            <w:vAlign w:val="center"/>
          </w:tcPr>
          <w:p w14:paraId="4EA8C4F7" w14:textId="77777777" w:rsidR="002738E3" w:rsidRDefault="002738E3" w:rsidP="002738E3">
            <w:pPr>
              <w:pStyle w:val="TableParagraph"/>
              <w:spacing w:before="0"/>
              <w:rPr>
                <w:sz w:val="17"/>
              </w:rPr>
            </w:pPr>
            <w:r>
              <w:rPr>
                <w:w w:val="105"/>
                <w:sz w:val="17"/>
              </w:rPr>
              <w:t xml:space="preserve">0,60 </w:t>
            </w:r>
            <w:r>
              <w:rPr>
                <w:w w:val="105"/>
                <w:sz w:val="17"/>
                <w:u w:val="single"/>
              </w:rPr>
              <w:t>+</w:t>
            </w:r>
            <w:r>
              <w:rPr>
                <w:w w:val="105"/>
                <w:sz w:val="17"/>
              </w:rPr>
              <w:t xml:space="preserve"> 0,05 g/cc</w:t>
            </w:r>
          </w:p>
        </w:tc>
      </w:tr>
      <w:tr w:rsidR="002738E3" w14:paraId="577CA2C5" w14:textId="77777777" w:rsidTr="00D06D1B">
        <w:trPr>
          <w:trHeight w:val="518"/>
        </w:trPr>
        <w:tc>
          <w:tcPr>
            <w:tcW w:w="4675" w:type="dxa"/>
            <w:vAlign w:val="center"/>
          </w:tcPr>
          <w:p w14:paraId="79554A71" w14:textId="77777777" w:rsidR="002738E3" w:rsidRDefault="002738E3" w:rsidP="002738E3">
            <w:pPr>
              <w:pStyle w:val="TableParagraph"/>
              <w:spacing w:before="0"/>
              <w:rPr>
                <w:sz w:val="17"/>
              </w:rPr>
            </w:pPr>
            <w:r>
              <w:rPr>
                <w:w w:val="105"/>
                <w:sz w:val="17"/>
              </w:rPr>
              <w:t xml:space="preserve">Punto di </w:t>
            </w:r>
            <w:proofErr w:type="spellStart"/>
            <w:r>
              <w:rPr>
                <w:w w:val="105"/>
                <w:sz w:val="17"/>
              </w:rPr>
              <w:t>fusione</w:t>
            </w:r>
            <w:proofErr w:type="spellEnd"/>
          </w:p>
        </w:tc>
        <w:tc>
          <w:tcPr>
            <w:tcW w:w="4241" w:type="dxa"/>
            <w:vAlign w:val="center"/>
          </w:tcPr>
          <w:p w14:paraId="5815CD95" w14:textId="77777777" w:rsidR="002738E3" w:rsidRDefault="002738E3" w:rsidP="002738E3">
            <w:pPr>
              <w:pStyle w:val="TableParagraph"/>
              <w:spacing w:before="0"/>
              <w:rPr>
                <w:sz w:val="17"/>
              </w:rPr>
            </w:pPr>
            <w:r>
              <w:rPr>
                <w:w w:val="105"/>
                <w:sz w:val="17"/>
              </w:rPr>
              <w:t>&gt;1500°C</w:t>
            </w:r>
          </w:p>
        </w:tc>
      </w:tr>
    </w:tbl>
    <w:p w14:paraId="6FE9AC68" w14:textId="77777777" w:rsidR="00156782" w:rsidRDefault="00156782" w:rsidP="006B68A5">
      <w:pPr>
        <w:pStyle w:val="Corpotesto"/>
        <w:spacing w:before="6"/>
        <w:jc w:val="both"/>
        <w:rPr>
          <w:b/>
          <w:sz w:val="13"/>
        </w:rPr>
      </w:pPr>
    </w:p>
    <w:p w14:paraId="56E8D21C" w14:textId="77777777" w:rsidR="00156782" w:rsidRDefault="000B35D6" w:rsidP="006B68A5">
      <w:pPr>
        <w:pStyle w:val="Titolo3"/>
        <w:spacing w:before="191"/>
        <w:jc w:val="both"/>
      </w:pPr>
      <w:proofErr w:type="spellStart"/>
      <w:r>
        <w:rPr>
          <w:color w:val="0D0D0D"/>
          <w:w w:val="105"/>
        </w:rPr>
        <w:t>Contiene</w:t>
      </w:r>
      <w:proofErr w:type="spellEnd"/>
    </w:p>
    <w:p w14:paraId="6AB28032" w14:textId="7ABC9145" w:rsidR="00863A79" w:rsidRDefault="004B6CBF" w:rsidP="004B6CBF">
      <w:pPr>
        <w:pStyle w:val="Corpotesto"/>
        <w:spacing w:before="41"/>
        <w:ind w:left="683"/>
        <w:jc w:val="both"/>
        <w:rPr>
          <w:lang w:val="it-IT"/>
        </w:rPr>
      </w:pPr>
      <w:r w:rsidRPr="004B6CBF">
        <w:rPr>
          <w:color w:val="0D0D0D"/>
          <w:w w:val="105"/>
          <w:lang w:val="it-IT"/>
        </w:rPr>
        <w:t>Sepiolite</w:t>
      </w:r>
      <w:r>
        <w:rPr>
          <w:color w:val="0D0D0D"/>
          <w:w w:val="105"/>
          <w:lang w:val="it-IT"/>
        </w:rPr>
        <w:t>,</w:t>
      </w:r>
      <w:r w:rsidRPr="004B6CBF">
        <w:rPr>
          <w:color w:val="0D0D0D"/>
          <w:w w:val="105"/>
          <w:lang w:val="it-IT"/>
        </w:rPr>
        <w:t xml:space="preserve"> silicato idrato di magnesio.</w:t>
      </w:r>
    </w:p>
    <w:p w14:paraId="09380139" w14:textId="77777777" w:rsidR="00863A79" w:rsidRPr="00FA56F1" w:rsidRDefault="00863A79" w:rsidP="006B68A5">
      <w:pPr>
        <w:pStyle w:val="Corpotesto"/>
        <w:spacing w:before="41"/>
        <w:ind w:left="683"/>
        <w:jc w:val="both"/>
        <w:rPr>
          <w:lang w:val="it-IT"/>
        </w:rPr>
      </w:pPr>
    </w:p>
    <w:p w14:paraId="41CD7B17" w14:textId="77777777" w:rsidR="00156782" w:rsidRPr="00FA56F1" w:rsidRDefault="00156782" w:rsidP="006B68A5">
      <w:pPr>
        <w:pStyle w:val="Corpotesto"/>
        <w:spacing w:before="3"/>
        <w:jc w:val="both"/>
        <w:rPr>
          <w:sz w:val="31"/>
          <w:lang w:val="it-IT"/>
        </w:rPr>
      </w:pPr>
    </w:p>
    <w:p w14:paraId="02F7E9D1" w14:textId="77777777" w:rsidR="00156782" w:rsidRPr="00D06D1B" w:rsidRDefault="000B35D6" w:rsidP="006B68A5">
      <w:pPr>
        <w:pStyle w:val="Titolo2"/>
        <w:jc w:val="both"/>
        <w:rPr>
          <w:lang w:val="it-IT"/>
        </w:rPr>
      </w:pPr>
      <w:r w:rsidRPr="00D06D1B">
        <w:rPr>
          <w:sz w:val="20"/>
          <w:szCs w:val="20"/>
          <w:lang w:val="it-IT"/>
        </w:rPr>
        <w:t>MODALITA' D’USO RACCOMANDATE</w:t>
      </w:r>
    </w:p>
    <w:p w14:paraId="5C97D3CF" w14:textId="2E72503C" w:rsidR="004F6B0B" w:rsidRPr="00FA56F1" w:rsidRDefault="004F6B0B" w:rsidP="004F6B0B">
      <w:pPr>
        <w:pStyle w:val="Corpotesto"/>
        <w:spacing w:before="173" w:line="252" w:lineRule="auto"/>
        <w:ind w:left="115" w:right="119"/>
        <w:jc w:val="both"/>
        <w:rPr>
          <w:lang w:val="it-IT"/>
        </w:rPr>
      </w:pPr>
      <w:r w:rsidRPr="004F6B0B">
        <w:rPr>
          <w:lang w:val="it-IT"/>
        </w:rPr>
        <w:t xml:space="preserve">Cospargere la zona </w:t>
      </w:r>
      <w:r>
        <w:rPr>
          <w:lang w:val="it-IT"/>
        </w:rPr>
        <w:t>da trattare</w:t>
      </w:r>
      <w:r w:rsidRPr="004F6B0B">
        <w:rPr>
          <w:lang w:val="it-IT"/>
        </w:rPr>
        <w:t xml:space="preserve"> sino al completo assorbimento o cospargere preventivamente le zone che potrebbero essere contaminate. Quando è saturo, cambia colore, da chiaro a scuro, indicando così la necessità di essere sostituito.</w:t>
      </w:r>
      <w:r>
        <w:rPr>
          <w:lang w:val="it-IT"/>
        </w:rPr>
        <w:t xml:space="preserve"> </w:t>
      </w:r>
      <w:r w:rsidRPr="004F6B0B">
        <w:rPr>
          <w:lang w:val="it-IT"/>
        </w:rPr>
        <w:t>Il residuo va considerato rifiuto alla stregua del prodotto contaminante e, quindi, smaltito secondo le classificazioni di quest’ultimo.</w:t>
      </w:r>
    </w:p>
    <w:p w14:paraId="4928946F" w14:textId="77777777" w:rsidR="00156782" w:rsidRPr="00FA56F1" w:rsidRDefault="00156782" w:rsidP="006B68A5">
      <w:pPr>
        <w:pStyle w:val="Corpotesto"/>
        <w:jc w:val="both"/>
        <w:rPr>
          <w:sz w:val="22"/>
          <w:lang w:val="it-IT"/>
        </w:rPr>
      </w:pPr>
    </w:p>
    <w:p w14:paraId="2679C6A2" w14:textId="7279A41A" w:rsidR="00156782" w:rsidRDefault="00156782" w:rsidP="006B68A5">
      <w:pPr>
        <w:pStyle w:val="Corpotesto"/>
        <w:spacing w:before="9"/>
        <w:jc w:val="both"/>
        <w:rPr>
          <w:sz w:val="27"/>
          <w:lang w:val="it-IT"/>
        </w:rPr>
      </w:pPr>
    </w:p>
    <w:p w14:paraId="45894623" w14:textId="3E548821" w:rsidR="00863A79" w:rsidRDefault="00863A79" w:rsidP="006B68A5">
      <w:pPr>
        <w:pStyle w:val="Corpotesto"/>
        <w:spacing w:before="9"/>
        <w:jc w:val="both"/>
        <w:rPr>
          <w:sz w:val="27"/>
          <w:lang w:val="it-IT"/>
        </w:rPr>
      </w:pPr>
    </w:p>
    <w:p w14:paraId="4BF7248B" w14:textId="6341B811" w:rsidR="00863A79" w:rsidRDefault="00863A79" w:rsidP="006B68A5">
      <w:pPr>
        <w:pStyle w:val="Corpotesto"/>
        <w:spacing w:before="9"/>
        <w:jc w:val="both"/>
        <w:rPr>
          <w:sz w:val="27"/>
          <w:lang w:val="it-IT"/>
        </w:rPr>
      </w:pPr>
    </w:p>
    <w:p w14:paraId="17544B81" w14:textId="77777777" w:rsidR="00863A79" w:rsidRDefault="00863A79" w:rsidP="006B68A5">
      <w:pPr>
        <w:pStyle w:val="Corpotesto"/>
        <w:spacing w:before="9"/>
        <w:jc w:val="both"/>
        <w:rPr>
          <w:sz w:val="27"/>
          <w:lang w:val="it-IT"/>
        </w:rPr>
      </w:pPr>
    </w:p>
    <w:p w14:paraId="052A8EFE" w14:textId="4CBC557A" w:rsidR="00863A79" w:rsidRDefault="00863A79" w:rsidP="006B68A5">
      <w:pPr>
        <w:pStyle w:val="Corpotesto"/>
        <w:spacing w:before="9"/>
        <w:jc w:val="both"/>
        <w:rPr>
          <w:sz w:val="27"/>
          <w:lang w:val="it-IT"/>
        </w:rPr>
      </w:pPr>
    </w:p>
    <w:p w14:paraId="702813CA" w14:textId="4C8C30DB" w:rsidR="00863A79" w:rsidRDefault="00863A79" w:rsidP="006B68A5">
      <w:pPr>
        <w:pStyle w:val="Corpotesto"/>
        <w:spacing w:before="9"/>
        <w:jc w:val="both"/>
        <w:rPr>
          <w:sz w:val="27"/>
          <w:lang w:val="it-IT"/>
        </w:rPr>
      </w:pPr>
    </w:p>
    <w:p w14:paraId="393B20CB" w14:textId="77777777" w:rsidR="00863A79" w:rsidRDefault="00863A79" w:rsidP="006B68A5">
      <w:pPr>
        <w:pStyle w:val="Corpotesto"/>
        <w:spacing w:before="9"/>
        <w:jc w:val="both"/>
        <w:rPr>
          <w:sz w:val="27"/>
          <w:lang w:val="it-IT"/>
        </w:rPr>
      </w:pPr>
    </w:p>
    <w:p w14:paraId="1397A881" w14:textId="77777777" w:rsidR="00863A79" w:rsidRPr="00436F64" w:rsidRDefault="00863A79" w:rsidP="00863A7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3C282385" w14:textId="77777777" w:rsidR="00863A79" w:rsidRPr="00436F64" w:rsidRDefault="00863A79" w:rsidP="00863A7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6AE78A2B" w14:textId="77777777" w:rsidR="00863A79" w:rsidRPr="00436F64" w:rsidRDefault="00863A79" w:rsidP="00863A7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4FAC8031" w14:textId="77777777" w:rsidR="00863A79" w:rsidRDefault="00D06D1B" w:rsidP="00863A79">
      <w:pPr>
        <w:pStyle w:val="Corpotesto"/>
        <w:jc w:val="center"/>
        <w:rPr>
          <w:sz w:val="22"/>
          <w:lang w:val="it-IT"/>
        </w:rPr>
      </w:pPr>
      <w:hyperlink r:id="rId7" w:history="1">
        <w:r w:rsidR="00863A79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27BEB949" w14:textId="77777777" w:rsidR="00863A79" w:rsidRDefault="00863A79" w:rsidP="00863A79">
      <w:pPr>
        <w:pStyle w:val="Corpotesto"/>
        <w:jc w:val="center"/>
        <w:rPr>
          <w:sz w:val="22"/>
          <w:lang w:val="it-IT"/>
        </w:rPr>
      </w:pPr>
    </w:p>
    <w:p w14:paraId="5AD6E50F" w14:textId="77777777" w:rsidR="00863A79" w:rsidRPr="00436F64" w:rsidRDefault="00863A79" w:rsidP="00863A79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p w14:paraId="5773E05F" w14:textId="77777777" w:rsidR="00B366D5" w:rsidRPr="00FA56F1" w:rsidRDefault="00B366D5" w:rsidP="006B68A5">
      <w:pPr>
        <w:pStyle w:val="Corpotesto"/>
        <w:spacing w:before="9"/>
        <w:jc w:val="both"/>
        <w:rPr>
          <w:sz w:val="27"/>
          <w:lang w:val="it-IT"/>
        </w:rPr>
      </w:pPr>
    </w:p>
    <w:p w14:paraId="58BD7E50" w14:textId="6D47B1B7" w:rsidR="00156782" w:rsidRPr="00FA56F1" w:rsidRDefault="00156782" w:rsidP="006B68A5">
      <w:pPr>
        <w:ind w:right="120"/>
        <w:jc w:val="both"/>
        <w:rPr>
          <w:sz w:val="23"/>
          <w:lang w:val="it-IT"/>
        </w:rPr>
      </w:pPr>
    </w:p>
    <w:sectPr w:rsidR="00156782" w:rsidRPr="00FA56F1" w:rsidSect="00F05002">
      <w:headerReference w:type="even" r:id="rId8"/>
      <w:headerReference w:type="first" r:id="rId9"/>
      <w:pgSz w:w="11900" w:h="16840"/>
      <w:pgMar w:top="1040" w:right="1300" w:bottom="944" w:left="1300" w:header="70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1B87A" w14:textId="77777777" w:rsidR="00D7184F" w:rsidRDefault="00D7184F">
      <w:r>
        <w:separator/>
      </w:r>
    </w:p>
  </w:endnote>
  <w:endnote w:type="continuationSeparator" w:id="0">
    <w:p w14:paraId="505DAB8A" w14:textId="77777777" w:rsidR="00D7184F" w:rsidRDefault="00D71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042C7" w14:textId="77777777" w:rsidR="00D7184F" w:rsidRDefault="00D7184F">
      <w:r>
        <w:separator/>
      </w:r>
    </w:p>
  </w:footnote>
  <w:footnote w:type="continuationSeparator" w:id="0">
    <w:p w14:paraId="188484C2" w14:textId="77777777" w:rsidR="00D7184F" w:rsidRDefault="00D71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4D154" w14:textId="4CEC9681" w:rsidR="00F05002" w:rsidRDefault="00D06D1B">
    <w:pPr>
      <w:pStyle w:val="Intestazione"/>
    </w:pPr>
    <w:r>
      <w:rPr>
        <w:noProof/>
        <w:lang w:val="it-IT" w:eastAsia="it-IT"/>
      </w:rPr>
      <w:pict w14:anchorId="2B56C4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margin-left:0;margin-top:0;width:595.75pt;height:842pt;z-index:-25165363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2DE72C6B">
        <v:shape id="WordPictureWatermark2" o:spid="_x0000_s2053" type="#_x0000_t75" style="position:absolute;margin-left:0;margin-top:0;width:595.75pt;height:842pt;z-index:-251656704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67B57E13">
        <v:shape id="WordPictureWatermark1" o:spid="_x0000_s2052" type="#_x0000_t75" style="position:absolute;margin-left:0;margin-top:0;width:595.75pt;height:842pt;z-index:-25165772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53053" w14:textId="3AAA4A4F" w:rsidR="00F05002" w:rsidRDefault="00D06D1B">
    <w:pPr>
      <w:pStyle w:val="Intestazione"/>
    </w:pPr>
    <w:r>
      <w:rPr>
        <w:noProof/>
        <w:lang w:val="it-IT" w:eastAsia="it-IT"/>
      </w:rPr>
      <w:pict w14:anchorId="31F17A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margin-left:0;margin-top:0;width:595.75pt;height:842pt;z-index:-25165260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47AE639C">
        <v:shape id="WordPictureWatermark3" o:spid="_x0000_s2054" type="#_x0000_t75" style="position:absolute;margin-left:0;margin-top:0;width:595.75pt;height:842pt;z-index:-251655680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782"/>
    <w:rsid w:val="000B35D6"/>
    <w:rsid w:val="000E5DBB"/>
    <w:rsid w:val="00127441"/>
    <w:rsid w:val="00156782"/>
    <w:rsid w:val="00203977"/>
    <w:rsid w:val="002343C9"/>
    <w:rsid w:val="002738E3"/>
    <w:rsid w:val="002D0895"/>
    <w:rsid w:val="00334DA2"/>
    <w:rsid w:val="00436382"/>
    <w:rsid w:val="00481F10"/>
    <w:rsid w:val="004B6CBF"/>
    <w:rsid w:val="004F6B0B"/>
    <w:rsid w:val="00513AFE"/>
    <w:rsid w:val="005A4E52"/>
    <w:rsid w:val="006B68A5"/>
    <w:rsid w:val="00863A79"/>
    <w:rsid w:val="00B366D5"/>
    <w:rsid w:val="00D06D1B"/>
    <w:rsid w:val="00D7184F"/>
    <w:rsid w:val="00ED51CB"/>
    <w:rsid w:val="00F05002"/>
    <w:rsid w:val="00FA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57A993D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6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050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500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050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5002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863A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1) .docx</dc:title>
  <cp:lastModifiedBy>Andrea Cipolletta - Specialista Servizio Tecnico Nowal Chimica S.r.l.</cp:lastModifiedBy>
  <cp:revision>19</cp:revision>
  <dcterms:created xsi:type="dcterms:W3CDTF">2018-03-22T16:15:00Z</dcterms:created>
  <dcterms:modified xsi:type="dcterms:W3CDTF">2021-07-16T13:03:00Z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